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15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15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"/>
        <w:shd w:val="clear" w:color="auto" w:fill="ffffff"/>
        <w:spacing w:before="300" w:after="150"/>
        <w:jc w:val="center"/>
        <w:rPr>
          <w:rFonts w:ascii="Arial" w:cs="Arial" w:hAnsi="Arial" w:eastAsia="Arial"/>
          <w:b w:val="0"/>
          <w:bCs w:val="0"/>
          <w:outline w:val="0"/>
          <w:color w:val="000000"/>
          <w:sz w:val="54"/>
          <w:szCs w:val="5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54"/>
          <w:szCs w:val="5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Consignment</w:t>
      </w:r>
      <w:r>
        <w:rPr>
          <w:rFonts w:ascii="Arial" w:hAnsi="Arial" w:hint="default"/>
          <w:b w:val="0"/>
          <w:bCs w:val="0"/>
          <w:outline w:val="0"/>
          <w:color w:val="000000"/>
          <w:sz w:val="54"/>
          <w:szCs w:val="5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0"/>
          <w:bCs w:val="0"/>
          <w:sz w:val="54"/>
          <w:szCs w:val="54"/>
          <w:rtl w:val="0"/>
          <w:lang w:val="en-US"/>
        </w:rPr>
        <w:t>Contract</w:t>
      </w:r>
    </w:p>
    <w:p>
      <w:pPr>
        <w:pStyle w:val="Body"/>
        <w:shd w:val="clear" w:color="auto" w:fill="ffffff"/>
        <w:spacing w:after="15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spacing w:after="15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For the purposes herein,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Fine D3sign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shall be referred to as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sz w:val="21"/>
          <w:szCs w:val="21"/>
          <w:rtl w:val="0"/>
          <w:lang w:val="en-US"/>
        </w:rPr>
        <w:t>FD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the individual listed above will be referred to as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or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you.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30"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authorize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sell and display the items in this Consignment Form.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must approve this Consignment Form and the consignment item(s) before you send the item(s) to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Once the item is approved, you have three (3) business days to ship the item. After three (3) business days, you must re-submit the item for approval via a new Consignment Form.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consignor receives 70% of the selling price for the majority of items consigned.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Fashion/home accessories merchandise is accepted for a consignment period of 180 days (with a guarantee of a minimum of [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90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] days on the selling website).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after thirty (30) days on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website, the item has not been purchased, you may request a return of such item to you at your own expense.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10% restocking fee will be processed for anyone requesting their items back after the 30 day period.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reserves the right to be selective when accepting merchandise.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items are thoroughly inspected and consigned based on inventory needs.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items must be authentic to the brand represented by you on the Consignment Form. If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deems in its sole authority that the item is not authentic, you must arrange and pre-pay return shipping for such item.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you will set the pricing upon acceptance of the item by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prior to you shipping the item.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may mark down items or modify the selling price at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sole discretion.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Clothing/accessories should be exactly as described in this Consignment Form.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cleaning fee will be charged for items not ready for the selling website.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sz w:val="21"/>
          <w:szCs w:val="21"/>
          <w:rtl w:val="0"/>
          <w:lang w:val="en-US"/>
        </w:rPr>
        <w:t>Payments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sent to the consignors within </w:t>
      </w:r>
      <w:r>
        <w:rPr>
          <w:rFonts w:ascii="Arial" w:hAnsi="Arial"/>
          <w:sz w:val="21"/>
          <w:szCs w:val="21"/>
          <w:rtl w:val="0"/>
          <w:lang w:val="en-US"/>
        </w:rPr>
        <w:t>7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days of the sale.</w:t>
      </w:r>
      <w:r>
        <w:rPr>
          <w:rFonts w:ascii="Arial" w:hAnsi="Arial"/>
          <w:sz w:val="21"/>
          <w:szCs w:val="21"/>
          <w:rtl w:val="0"/>
          <w:lang w:val="en-US"/>
        </w:rPr>
        <w:t xml:space="preserve">  Choice of payment will be agreed upon by you and </w:t>
      </w:r>
      <w:r>
        <w:rPr>
          <w:rFonts w:ascii="Arial" w:hAnsi="Arial"/>
          <w:sz w:val="21"/>
          <w:szCs w:val="21"/>
          <w:rtl w:val="0"/>
          <w:lang w:val="en-US"/>
        </w:rPr>
        <w:t>FD</w:t>
      </w:r>
      <w:r>
        <w:rPr>
          <w:rFonts w:ascii="Arial" w:hAnsi="Arial"/>
          <w:sz w:val="21"/>
          <w:szCs w:val="21"/>
          <w:rtl w:val="0"/>
        </w:rPr>
        <w:t xml:space="preserve">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After 180 days, return shipping needs to be arranged and pre-paid for all items by the expiration date of the item </w:t>
      </w:r>
      <w:r>
        <w:rPr>
          <w:rFonts w:ascii="Arial" w:hAnsi="Arial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NOT call to remind you of return shipment dates. After that, all unsold items become property of </w:t>
      </w:r>
      <w:r>
        <w:rPr>
          <w:rFonts w:ascii="Arial" w:hAnsi="Arial"/>
          <w:sz w:val="21"/>
          <w:szCs w:val="21"/>
          <w:rtl w:val="0"/>
          <w:lang w:val="en-US"/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my responsibility for arranging for return shipping of my unsold items at the end of the consignment period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80" w:line="240" w:lineRule="auto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consignor acknowledges that he/she is consigning all items at his/her own risk and the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FD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cannot be responsible for any loss due to breakage, theft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 unforeseen cause.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after="0" w:line="240" w:lineRule="auto"/>
      <w:ind w:left="7920" w:firstLine="0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>CONFIDENTIAL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